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</w:tabs>
        <w:autoSpaceDE w:val="0"/>
        <w:autoSpaceDN w:val="0"/>
        <w:spacing w:line="540" w:lineRule="exact"/>
        <w:jc w:val="center"/>
        <w:rPr>
          <w:rFonts w:hint="eastAsia" w:ascii="Calibri" w:hAnsi="Calibri" w:eastAsia="公文小标宋简"/>
          <w:bCs/>
          <w:color w:val="000000" w:themeColor="text1"/>
          <w:spacing w:val="4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公文小标宋简"/>
          <w:bCs/>
          <w:color w:val="000000" w:themeColor="text1"/>
          <w:spacing w:val="4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番禺区2018年公益慈善创投项目</w:t>
      </w:r>
    </w:p>
    <w:p>
      <w:pPr>
        <w:tabs>
          <w:tab w:val="left" w:pos="284"/>
        </w:tabs>
        <w:autoSpaceDE w:val="0"/>
        <w:autoSpaceDN w:val="0"/>
        <w:spacing w:line="540" w:lineRule="exact"/>
        <w:jc w:val="center"/>
        <w:rPr>
          <w:rFonts w:hint="eastAsia" w:ascii="Calibri" w:hAnsi="Calibri" w:eastAsia="公文小标宋简"/>
          <w:bCs/>
          <w:color w:val="000000" w:themeColor="text1"/>
          <w:spacing w:val="4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公文小标宋简"/>
          <w:bCs/>
          <w:color w:val="000000" w:themeColor="text1"/>
          <w:spacing w:val="4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大赛参赛指南</w:t>
      </w:r>
    </w:p>
    <w:p>
      <w:pPr>
        <w:tabs>
          <w:tab w:val="left" w:pos="284"/>
        </w:tabs>
        <w:autoSpaceDE w:val="0"/>
        <w:autoSpaceDN w:val="0"/>
        <w:spacing w:line="540" w:lineRule="exact"/>
        <w:jc w:val="center"/>
        <w:rPr>
          <w:rFonts w:hint="eastAsia" w:ascii="Calibri" w:hAnsi="Calibri" w:eastAsia="公文小标宋简"/>
          <w:bCs/>
          <w:color w:val="000000" w:themeColor="text1"/>
          <w:spacing w:val="4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申报时间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申报时间为2018年8月8日至2018年9月9日。请各参赛组织于上述时间内完成报名和投件。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参赛方式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参赛申报端口将在大赛启动仪式上正式开通，具体活动及时间以大赛网站公告为准。请参加者随时关注我会公众微信，随时随地掌握大赛动态。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第一步：网站注册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本届大赛统一通过我会官方网站进行参赛申报工作，申请者在网站注册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或登录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后按大赛项目申报所需信息如实填写并提交，同时上传资质文件。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第二步：上载申报书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申报端口开放后，到注册账户上载项目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设申报书模板，请申报者自行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到网站下载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第三步：递交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纸质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材料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纸质材料包括申报书以及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资质文件。以上纸质材料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除申报表一式4份外，其他附件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份，均要加盖机构公章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在大赛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日期前送本会大赛组委会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560" w:lineRule="exact"/>
        <w:ind w:left="0" w:firstLine="640" w:firstLineChars="200"/>
        <w:rPr>
          <w:rStyle w:val="4"/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参赛内容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本次创投项目大赛设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扶老服务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失独家庭支持类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、来穗务工人员子女服务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、未成年人保护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类、困难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单亲家庭支持类、关爱残障人士类、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青少年夏（冬）令营，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个类别进行项目设计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项目实施或覆盖区域可自由选择全区性或各镇街。每个社会组织可申请多个项目，接受过政府资助尚在实施期限内的项目不再重复资助。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类别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背景简介如下：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扶老服务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旨在为困难长者及其家庭提供社会支持网络，搭建互助交流平台，帮助他们走出精神低谷，重拾生活信心，让他们感受到社会的关怀和支持，有力地支持番禺区社会保障事业的发展，发挥慈善事业对社会福利保障体系的重要补充作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服务对象：我区各类特殊困难长者，例如独居、空巢、失能、失独等各类困难长者家庭。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设计要求：针对他们的心理和社会需求，为辖区内困难长者提供持续性探访、情绪支持、义诊、节日慰问、送餐助餐、上门照料、陪同就医、上门护理、日间照料、临时托管和喘息服务等多元化服务。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实施时间：服务项目实施时间为一年。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失独家庭支持类：本类别是针对失独家庭群体开展的支持互助公益服务，旨在为失独家庭奖励社会支持网络，搭建互助交流平台，关爱失独家庭，帮助他们走出精神低谷，重拾生活信心。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服务对象：本区在册户籍的失独家庭。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设计要求：针对服务对象的心理和社会需求，为辖区内登记在册户籍的“失独家庭”提供探访、义诊、节日慰问等多元化服务，让他们感受到社会的关怀和支持，有力地支持番禺区社会保障事业的发展，发挥慈善事业对社会福利保障体系的重要补充作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实施时间：服务项目实施时间为一年。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来穗务工人员子女服务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类别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是针对为番禺区经济社会作出贡献的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来穗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务工人员而举行的一项公益活动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，旨在培育他们的子女积极的心态和进取的人生态度，树立敢于面对困难、战胜困难的信心。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服务对象：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6-16岁来穗务工人员子女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及其家庭。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设计要求：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针对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对象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目前的需求状况和心理状况，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设计一系列项目活动，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让他们在活动中能感受到生活有意义，生活有所得，并学会分享与感恩，传递正能量。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实施时间：服务项目实施时间为一年。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未成年人保护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类别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旨在为我区困境未成年人提供心理辅导，认知矫治，成长教育，技能培训，就业岗位等支持帮助。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项目对象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流浪乞讨未成年人；家庭贫困、重病、监护缺失、遭受家庭暴力的未成年人和服刑在教人员的未成年子女、孤残儿童、留守儿童；失学、辍学未成年人；其他特殊困难的未成年人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设计要求：针对相关对象，设计关于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心理辅导，认知矫治，成长教育，技能培训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等一系列项目活动。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实施时间：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服务项目实施时间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为一年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困难单亲家庭支持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：本类别旨在通过开展相关服务，使部分困难单亲家庭获得自信，走出较为封闭的生活网络，面对生活更加有勇气和信心。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项目对象：我区困难单亲家庭。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设计要求:针对相关对象，为我区困难单亲家庭提供在生活、就业、子女教育、心理减压等方面帮扶与救助的服务；提供就业或创业培训，就业或创业的机会和资源，使贫困的生活状况有所改善；促进单亲妈妈/爸爸和子女之间的沟通，改善家庭关系，促进家庭的和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实施时间：服务项目实施时间为一年。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Style w:val="4"/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关爱残障人士服务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：本类别旨在为残障人士及其家属搭建一个多元化的资源共享平台,整合社会资源提供专业辅导,实现个人增能。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项目对象：我区残障人士及其家庭。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设计要求：针对残障人士或其家庭，提供专业康复治疗、情感支持、职业发展、自我实现等服务。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实施时间：服务项目实施时间为一年。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Style w:val="4"/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青少年夏（冬）令营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：本类别旨在帮助来穗务工人员子女较快的融入城市社区生活，了解本地文化，促进来穗务工人员子女与本地青少年的身心健康发展，开展各类有利于青少年健康成长的夏（冬）令营。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Style w:val="4"/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项目对象：年龄介于6至16岁的来穗务工人员子女和本区青少年。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设计要求：实施方需同时申报1个夏令营项目和1个冬令营项目，每个夏（冬）令营累计天数至少10天；每个营服务对象不少于25人，其中来穗务工人员子女至少占全营人数的60%。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Style w:val="4"/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实施时间：冬令营开展时间为2018年寒假期间，夏令营开展时间为2019年暑假期间。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组织要求</w:t>
      </w:r>
    </w:p>
    <w:p>
      <w:pPr>
        <w:numPr>
          <w:ilvl w:val="0"/>
          <w:numId w:val="3"/>
        </w:numPr>
        <w:tabs>
          <w:tab w:val="left" w:pos="425"/>
        </w:tabs>
        <w:spacing w:line="560" w:lineRule="exact"/>
        <w:ind w:left="0" w:leftChars="0" w:firstLine="420" w:firstLineChars="0"/>
        <w:rPr>
          <w:rStyle w:val="4"/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在</w:t>
      </w:r>
      <w:r>
        <w:rPr>
          <w:rStyle w:val="4"/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番禺区</w:t>
      </w:r>
      <w:r>
        <w:rPr>
          <w:rStyle w:val="4"/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民政部门</w:t>
      </w:r>
      <w:r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登记成立，具有独立法人资格的社会组织（即具有年检合格的民办非企业单位登记证书），有社会组织评估</w:t>
      </w:r>
      <w:r>
        <w:rPr>
          <w:rStyle w:val="4"/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3A</w:t>
      </w:r>
      <w:r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或以上的社会组织优先参与；</w:t>
      </w:r>
    </w:p>
    <w:p>
      <w:pPr>
        <w:numPr>
          <w:ilvl w:val="0"/>
          <w:numId w:val="3"/>
        </w:numPr>
        <w:tabs>
          <w:tab w:val="left" w:pos="425"/>
        </w:tabs>
        <w:spacing w:line="560" w:lineRule="exact"/>
        <w:ind w:left="0" w:leftChars="0" w:firstLine="420" w:firstLineChars="0"/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拥有能够熟练掌握和灵活运用社会工作知识、方法和技能，愿意积极投身社会工作服务的专业团队；</w:t>
      </w:r>
    </w:p>
    <w:p>
      <w:pPr>
        <w:numPr>
          <w:ilvl w:val="0"/>
          <w:numId w:val="3"/>
        </w:numPr>
        <w:tabs>
          <w:tab w:val="left" w:pos="425"/>
        </w:tabs>
        <w:spacing w:line="560" w:lineRule="exact"/>
        <w:ind w:left="0" w:leftChars="0" w:firstLine="420" w:firstLineChars="0"/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有清晰的财务制度，并执行民间非营利组织会计制度；</w:t>
      </w:r>
    </w:p>
    <w:p>
      <w:pPr>
        <w:numPr>
          <w:ilvl w:val="0"/>
          <w:numId w:val="3"/>
        </w:numPr>
        <w:tabs>
          <w:tab w:val="left" w:pos="425"/>
        </w:tabs>
        <w:spacing w:line="560" w:lineRule="exact"/>
        <w:ind w:left="0" w:leftChars="0" w:firstLine="420" w:firstLineChars="0"/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有规范的治理结构、健全的规章制度和良好的社会公信力</w:t>
      </w:r>
      <w:r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3"/>
        </w:numPr>
        <w:tabs>
          <w:tab w:val="left" w:pos="425"/>
        </w:tabs>
        <w:spacing w:line="560" w:lineRule="exact"/>
        <w:ind w:left="0" w:leftChars="0" w:firstLine="420" w:firstLineChars="0"/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申报组织3年内接受过番禺区慈善会项目资助并终评不合格的，不接受报名。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参赛项目要求</w:t>
      </w:r>
    </w:p>
    <w:p>
      <w:pPr>
        <w:numPr>
          <w:ilvl w:val="0"/>
          <w:numId w:val="4"/>
        </w:numPr>
        <w:tabs>
          <w:tab w:val="left" w:pos="425"/>
        </w:tabs>
        <w:spacing w:line="560" w:lineRule="exact"/>
        <w:ind w:left="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针对性：项目目标清晰，需求分析严谨，有事实依据佐证其社会效益。针对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扶老服务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失独家庭支持项目、来穗务工人员子女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项目、未成年人保护项目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困难单亲家庭支持项目、关爱残障人士服务项目，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青少年夏（冬）令营</w:t>
      </w:r>
      <w:r>
        <w:rPr>
          <w:rFonts w:hint="eastAsia" w:ascii="仿宋_GB2312" w:hAnsi="仿宋_GB2312" w:eastAsia="仿宋_GB2312" w:cs="仿宋_GB2312"/>
          <w:sz w:val="32"/>
          <w:szCs w:val="32"/>
        </w:rPr>
        <w:t>的主题，以项目化形式提出创新解决方案。</w:t>
      </w:r>
    </w:p>
    <w:p>
      <w:pPr>
        <w:numPr>
          <w:ilvl w:val="0"/>
          <w:numId w:val="4"/>
        </w:numPr>
        <w:tabs>
          <w:tab w:val="left" w:pos="425"/>
        </w:tabs>
        <w:spacing w:line="560" w:lineRule="exact"/>
        <w:ind w:left="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可参与性：项目切合社会需求，注重利益相关方的参与，方案中设计了公众参与和互动环节，并提供有效便利的参与通道。</w:t>
      </w:r>
    </w:p>
    <w:p>
      <w:pPr>
        <w:numPr>
          <w:ilvl w:val="0"/>
          <w:numId w:val="4"/>
        </w:numPr>
        <w:tabs>
          <w:tab w:val="left" w:pos="425"/>
        </w:tabs>
        <w:spacing w:line="560" w:lineRule="exact"/>
        <w:ind w:left="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管理科学性：项目团队具备项目管理运营的专业能力和资质，实施计划清晰可行，有过程监控、评估验收和风险控制机制预算合理，有财务公开机制，具有成本效益。</w:t>
      </w:r>
    </w:p>
    <w:p>
      <w:pPr>
        <w:numPr>
          <w:ilvl w:val="0"/>
          <w:numId w:val="4"/>
        </w:numPr>
        <w:tabs>
          <w:tab w:val="left" w:pos="425"/>
        </w:tabs>
        <w:spacing w:line="560" w:lineRule="exact"/>
        <w:ind w:left="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社会创新性：项目具有清晰的发展模式，注重自身运营能力和创新能力提升，注重社会经营和自我造血，有可持续的社会需求和资源供给。</w:t>
      </w:r>
    </w:p>
    <w:p>
      <w:pPr>
        <w:numPr>
          <w:ilvl w:val="0"/>
          <w:numId w:val="4"/>
        </w:numPr>
        <w:tabs>
          <w:tab w:val="left" w:pos="425"/>
        </w:tabs>
        <w:spacing w:line="560" w:lineRule="exact"/>
        <w:ind w:left="0" w:leftChars="0" w:firstLine="420" w:firstLineChars="0"/>
        <w:rPr>
          <w:rStyle w:val="4"/>
          <w:rFonts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可复制性：项目针对的社会问题具有公共性，有较完善的标准化运营模式，在条件类似的领域和社区有示范和推广价值。</w:t>
      </w:r>
    </w:p>
    <w:p>
      <w:pPr>
        <w:numPr>
          <w:ilvl w:val="0"/>
          <w:numId w:val="4"/>
        </w:numPr>
        <w:tabs>
          <w:tab w:val="left" w:pos="425"/>
        </w:tabs>
        <w:spacing w:line="560" w:lineRule="exact"/>
        <w:ind w:left="0" w:leftChars="0" w:firstLine="420" w:firstLineChars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实施有效性：项目的实施有效缓解或解除受益人群面临的社会问题，注重传播效果，吸引跨界社会创新力量共同关注和解决社会问题。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评审机制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番禺区公益慈善创投项目大赛分为申报初审和决赛评审两个阶段，另设赛程互动环节，总分为100分，申报初审、决赛评审和赛程互动三个环节的权重分别为35%、50%和15%，即最终成绩=申报初审得分*35%+决赛评审得分*50%+培训参与得分+人气投票分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一）申报初审以封闭式批阅为主，满分为100分，从机构资质、团队配置、项目需求、项目计划、项目预算、可推广行及创新性等方面评分，其中机构资质由大赛组委会秘书处进行评分，共25分；其他方面由专家评委进行评分，共75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（二）决赛评审，满分为100分，分别由专家评委和嘉宾评委进行现场打分，分值权重分别为80%和20%。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三）赛程互动分为培训参与和人气投票两部分，该两部分分数均以实际得分纳入最终成绩。培训参与指参赛单位或机构参加组委会举办的相关培训课程，按参与度评分，满分5分；人气投票指决赛期间进行的观众投票，分数=得票数/全场总票数×10，满分10分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奖励办法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大赛奖项分为一、二、三等奖和优秀项目奖，其中一等奖两名，各奖励金额1800元；二等奖两名，各奖励金额1200元；三等奖两名，将得到奖励金额各1000元；优秀项目奖不等，将获得大赛奖状证书。番禺区慈善会将对每类别总分成绩最高的两个项目优先考虑资助。</w:t>
      </w:r>
    </w:p>
    <w:bookmarkEnd w:id="0"/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联系方式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报名地址：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"http://pycs.org.cn/go-game_index.html"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http://pycs.org.cn/go-game_index.html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大赛电子邮箱：panyuct@163.com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大赛交流QQ群：179077877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申报书收件地址：广州市番禺区市桥清河东路319号区行政办公中心西副楼四楼419室　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电话：020-34608222</w:t>
      </w:r>
    </w:p>
    <w:p>
      <w:pPr>
        <w:tabs>
          <w:tab w:val="left" w:pos="284"/>
        </w:tabs>
        <w:autoSpaceDE w:val="0"/>
        <w:autoSpaceDN w:val="0"/>
        <w:spacing w:line="540" w:lineRule="exact"/>
        <w:jc w:val="both"/>
        <w:rPr>
          <w:rFonts w:hint="eastAsia" w:ascii="Calibri" w:hAnsi="Calibri" w:eastAsia="公文小标宋简"/>
          <w:bCs/>
          <w:color w:val="000000" w:themeColor="text1"/>
          <w:spacing w:val="4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公文小标宋简"/>
          <w:bCs/>
          <w:color w:val="000000" w:themeColor="text1"/>
          <w:spacing w:val="4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121920</wp:posOffset>
            </wp:positionV>
            <wp:extent cx="2296795" cy="2296795"/>
            <wp:effectExtent l="0" t="0" r="8255" b="8255"/>
            <wp:wrapThrough wrapText="bothSides">
              <wp:wrapPolygon>
                <wp:start x="0" y="0"/>
                <wp:lineTo x="0" y="21498"/>
                <wp:lineTo x="21498" y="21498"/>
                <wp:lineTo x="21498" y="0"/>
                <wp:lineTo x="0" y="0"/>
              </wp:wrapPolygon>
            </wp:wrapThrough>
            <wp:docPr id="2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284"/>
        </w:tabs>
        <w:autoSpaceDE w:val="0"/>
        <w:autoSpaceDN w:val="0"/>
        <w:spacing w:line="540" w:lineRule="exact"/>
        <w:jc w:val="both"/>
        <w:rPr>
          <w:rFonts w:hint="eastAsia" w:ascii="Calibri" w:hAnsi="Calibri" w:eastAsia="公文小标宋简"/>
          <w:bCs/>
          <w:color w:val="000000" w:themeColor="text1"/>
          <w:spacing w:val="4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84"/>
        </w:tabs>
        <w:autoSpaceDE w:val="0"/>
        <w:autoSpaceDN w:val="0"/>
        <w:spacing w:line="540" w:lineRule="exact"/>
        <w:jc w:val="both"/>
        <w:rPr>
          <w:rFonts w:hint="eastAsia" w:ascii="Calibri" w:hAnsi="Calibri" w:eastAsia="公文小标宋简"/>
          <w:bCs/>
          <w:color w:val="000000" w:themeColor="text1"/>
          <w:spacing w:val="4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84"/>
        </w:tabs>
        <w:autoSpaceDE w:val="0"/>
        <w:autoSpaceDN w:val="0"/>
        <w:spacing w:line="540" w:lineRule="exact"/>
        <w:jc w:val="both"/>
        <w:rPr>
          <w:rFonts w:hint="eastAsia" w:ascii="Calibri" w:hAnsi="Calibri" w:eastAsia="公文小标宋简"/>
          <w:bCs/>
          <w:color w:val="000000" w:themeColor="text1"/>
          <w:spacing w:val="4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84"/>
        </w:tabs>
        <w:autoSpaceDE w:val="0"/>
        <w:autoSpaceDN w:val="0"/>
        <w:spacing w:line="540" w:lineRule="exact"/>
        <w:jc w:val="both"/>
        <w:rPr>
          <w:rFonts w:hint="eastAsia" w:ascii="Calibri" w:hAnsi="Calibri" w:eastAsia="公文小标宋简"/>
          <w:bCs/>
          <w:color w:val="000000" w:themeColor="text1"/>
          <w:spacing w:val="4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84"/>
        </w:tabs>
        <w:autoSpaceDE w:val="0"/>
        <w:autoSpaceDN w:val="0"/>
        <w:spacing w:line="540" w:lineRule="exact"/>
        <w:jc w:val="both"/>
        <w:rPr>
          <w:rFonts w:hint="eastAsia" w:ascii="Calibri" w:hAnsi="Calibri" w:eastAsia="公文小标宋简"/>
          <w:bCs/>
          <w:color w:val="000000" w:themeColor="text1"/>
          <w:spacing w:val="4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84"/>
        </w:tabs>
        <w:autoSpaceDE w:val="0"/>
        <w:autoSpaceDN w:val="0"/>
        <w:spacing w:line="540" w:lineRule="exact"/>
        <w:jc w:val="both"/>
        <w:rPr>
          <w:rFonts w:hint="eastAsia" w:ascii="Calibri" w:hAnsi="Calibri" w:eastAsia="公文小标宋简"/>
          <w:bCs/>
          <w:color w:val="000000" w:themeColor="text1"/>
          <w:spacing w:val="4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84"/>
        </w:tabs>
        <w:autoSpaceDE w:val="0"/>
        <w:autoSpaceDN w:val="0"/>
        <w:spacing w:line="540" w:lineRule="exact"/>
        <w:jc w:val="both"/>
        <w:rPr>
          <w:rFonts w:hint="eastAsia" w:ascii="Calibri" w:hAnsi="Calibri" w:eastAsia="公文小标宋简"/>
          <w:bCs/>
          <w:color w:val="000000" w:themeColor="text1"/>
          <w:spacing w:val="4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公文小标宋简">
    <w:altName w:val="宋体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0C46"/>
    <w:multiLevelType w:val="singleLevel"/>
    <w:tmpl w:val="27890C4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3B1B1A79"/>
    <w:multiLevelType w:val="singleLevel"/>
    <w:tmpl w:val="3B1B1A7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56D39AD6"/>
    <w:multiLevelType w:val="singleLevel"/>
    <w:tmpl w:val="56D39AD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719AB0B0"/>
    <w:multiLevelType w:val="singleLevel"/>
    <w:tmpl w:val="719AB0B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67B6F"/>
    <w:rsid w:val="09531A9C"/>
    <w:rsid w:val="11E2177C"/>
    <w:rsid w:val="179D2851"/>
    <w:rsid w:val="284F43D1"/>
    <w:rsid w:val="33305FD4"/>
    <w:rsid w:val="346728A9"/>
    <w:rsid w:val="371E6CA8"/>
    <w:rsid w:val="40367B6F"/>
    <w:rsid w:val="42203683"/>
    <w:rsid w:val="4F7E4D4E"/>
    <w:rsid w:val="53732AAD"/>
    <w:rsid w:val="5DC90F6A"/>
    <w:rsid w:val="645E6036"/>
    <w:rsid w:val="6B0B55F5"/>
    <w:rsid w:val="6D535020"/>
    <w:rsid w:val="7505692E"/>
    <w:rsid w:val="7865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zw_s141"/>
    <w:qFormat/>
    <w:uiPriority w:val="0"/>
    <w:rPr>
      <w:rFonts w:hint="eastAsia" w:ascii="宋体" w:hAnsi="宋体" w:eastAsia="宋体" w:cs="宋体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2018-05-16T07:46:00Z</dcterms:created>
  <dc:creator>VAN</dc:creator>
  <cp:lastModifiedBy>VAN</cp:lastModifiedBy>
  <dcterms:modified xsi:type="dcterms:W3CDTF">2018-08-06T07:11:18Z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